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BE" w:rsidRPr="007D0DE7" w:rsidRDefault="006456BE" w:rsidP="006456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 2</w:t>
      </w:r>
      <w:bookmarkStart w:id="0" w:name="_GoBack"/>
      <w:bookmarkEnd w:id="0"/>
    </w:p>
    <w:p w:rsidR="006456BE" w:rsidRPr="007D0DE7" w:rsidRDefault="006456BE" w:rsidP="00645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56BE" w:rsidRPr="007D0DE7" w:rsidRDefault="006456BE" w:rsidP="00645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DE7">
        <w:rPr>
          <w:rFonts w:ascii="Times New Roman" w:hAnsi="Times New Roman" w:cs="Times New Roman"/>
          <w:sz w:val="24"/>
          <w:szCs w:val="24"/>
        </w:rPr>
        <w:t xml:space="preserve">Основным компонентом электронных или биомедицинских чернил является функциональный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наноматериал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, который должен быть нанесен. Поскольку подробный обзор представлен в главах 7–14, здесь дается только краткое резюме. Большое разнообразие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наноматериалов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со всеми видами свойств и форм были сформулированы в чернила и пасты. Примеры включают проводящие [26], полупроводниковые (например, электролюминесцентные или фотоэлектрические [27]) или пьезоэлектрические [28], а также каталитически и биологически активные материалы [29]. Также размеры используемых материалов охватывают весь диапазон, определенный для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нанотехнологий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, от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субнанометрового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режима до долей микрометра. Были обработаны «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нульмерные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» объекты, такие как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наночастицы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сферических, но также и других форм [26], а также более сложные формы, такие как стержни и проволоки [27], листы [30, 31] и сложные трехмерные объекты. архитектуры [32, 33]. Помимо функциональных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наноматериалов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, состоящих из одного компонента, более сложные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нанообъекты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также были описаны как функциональные ингредиенты чернил [34]. В соответствии с этим широким разнообразием материалов и функциональных возможностей технические приложения также представляют весь спектр устройств, таких как датчики, преобразование энергии, связь и логика, освещение и катализ. Конкретные примеры читатель может найти в главах 15–16 этой книги.</w:t>
      </w:r>
    </w:p>
    <w:p w:rsidR="006456BE" w:rsidRPr="007D0DE7" w:rsidRDefault="006456BE" w:rsidP="00645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DE7">
        <w:rPr>
          <w:rFonts w:ascii="Times New Roman" w:hAnsi="Times New Roman" w:cs="Times New Roman"/>
          <w:sz w:val="24"/>
          <w:szCs w:val="24"/>
        </w:rPr>
        <w:t xml:space="preserve">Состав чернил требует тонкого баланса между желаемыми функциональными свойствами в устройстве после осаждения и последующей обработки и пригодностью для печати. Для достижения хорошей печатной способности необходим точный контроль над рядом свойств чернил, таких как вязкость, стабильность,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смачиваемость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и характеристики сушки.</w:t>
      </w:r>
    </w:p>
    <w:p w:rsidR="006456BE" w:rsidRPr="007D0DE7" w:rsidRDefault="006456BE" w:rsidP="00645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DE7">
        <w:rPr>
          <w:rFonts w:ascii="Times New Roman" w:hAnsi="Times New Roman" w:cs="Times New Roman"/>
          <w:sz w:val="24"/>
          <w:szCs w:val="24"/>
        </w:rPr>
        <w:t xml:space="preserve">Во всех составах чернил функциональные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наноматериалы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диспергированы в некотором виде жидкого носителя, который может быть чистым растворителем или смесью и имеет функцию, позволяющую обрабатывать из жидкого состояния. Выбор конкретной системы растворителей зависит от множества факторов, таких как совместимость с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наноматериалами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и предполагаемым субстратом, предполагаемые условия обработки и предполагаемое применение. В случае крупномасштабного производства также необходимо принимать во внимание вопросы стоимости, окружающей среды и здоровья.</w:t>
      </w:r>
    </w:p>
    <w:p w:rsidR="006456BE" w:rsidRPr="006456BE" w:rsidRDefault="006456BE" w:rsidP="00645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DE7">
        <w:rPr>
          <w:rFonts w:ascii="Times New Roman" w:hAnsi="Times New Roman" w:cs="Times New Roman"/>
          <w:sz w:val="24"/>
          <w:szCs w:val="24"/>
        </w:rPr>
        <w:t xml:space="preserve">Чистые дисперсии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наноматериалов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в жидкостях обычно не являются стабильными и, следовательно, не могут быть надлежащим образом нанесены с помощью технологий печати. Например,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наночастицы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сильно склонны к кластеризации, агломерации и осаждению из-за их высоких поверхностных энергий, что, в свою очередь, приводит к измененным реологическим свойствам, неравномерному распределению материала или повышенной шероховатости поверхности после печати. Поэтому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диспергаторы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обычно используются для стабилизации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наночастиц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(теоретические исследования см. В [35], а практические примеры - в [36–38]). Эти соединения обычно являются нейтральными или электрически заряженными органическими молекулами или полимерами. Они вызывают взаимное отталкивание при адсорбции на поверхности частиц, тем самым предотвращая образование более крупных агрегатов. Кроме того, </w:t>
      </w:r>
      <w:r w:rsidRPr="007D0DE7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7D0DE7">
        <w:rPr>
          <w:rFonts w:ascii="Times New Roman" w:hAnsi="Times New Roman" w:cs="Times New Roman"/>
          <w:sz w:val="24"/>
          <w:szCs w:val="24"/>
        </w:rPr>
        <w:t xml:space="preserve"> и концентрация электролита могут влиять на стабильность дисперсии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наночастиц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из-за их влияния на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дзета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-потенциалы. рН можно контролировать добавлением буферной системы. Для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биофункциональных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 компонентов контроль рН особенно важен, поскольку белки имеют тенденцию денатурировать при изменении рН, тем самым теряя свою функциональность [39].</w:t>
      </w:r>
    </w:p>
    <w:p w:rsidR="006456BE" w:rsidRPr="007D0DE7" w:rsidRDefault="006456BE" w:rsidP="00645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DE7">
        <w:rPr>
          <w:rFonts w:ascii="Times New Roman" w:hAnsi="Times New Roman" w:cs="Times New Roman"/>
          <w:sz w:val="24"/>
          <w:szCs w:val="24"/>
        </w:rPr>
        <w:t xml:space="preserve">Стабильность чернил при хранении является еще одним требовательным требованием. В дополнение к агломерации и осаждению частиц, как описано ранее, испарение растворителей может привести к изменению состава чернил и увеличению концентрации </w:t>
      </w:r>
      <w:proofErr w:type="spellStart"/>
      <w:r w:rsidRPr="007D0DE7">
        <w:rPr>
          <w:rFonts w:ascii="Times New Roman" w:hAnsi="Times New Roman" w:cs="Times New Roman"/>
          <w:sz w:val="24"/>
          <w:szCs w:val="24"/>
        </w:rPr>
        <w:t>наноматериалов</w:t>
      </w:r>
      <w:proofErr w:type="spellEnd"/>
      <w:r w:rsidRPr="007D0DE7">
        <w:rPr>
          <w:rFonts w:ascii="Times New Roman" w:hAnsi="Times New Roman" w:cs="Times New Roman"/>
          <w:sz w:val="24"/>
          <w:szCs w:val="24"/>
        </w:rPr>
        <w:t xml:space="preserve">, что, в свою очередь, влияет на пригодность для печати. Стабильность в течение всего срока службы можно повысить с помощью растворителей с высокой температурой кипения. Другой возможностью является добавление увлажнителей, </w:t>
      </w:r>
      <w:r w:rsidRPr="007D0DE7">
        <w:rPr>
          <w:rFonts w:ascii="Times New Roman" w:hAnsi="Times New Roman" w:cs="Times New Roman"/>
          <w:sz w:val="24"/>
          <w:szCs w:val="24"/>
        </w:rPr>
        <w:lastRenderedPageBreak/>
        <w:t>которые связывают компоненты растворителя, тем самым снижая их склонность к испарению [40]. Типичными примерами являются полимеры с полярными боковыми группами, которые притягивают полярные растворители, особенно воду.</w:t>
      </w:r>
    </w:p>
    <w:p w:rsidR="00100CFB" w:rsidRDefault="00100CFB"/>
    <w:sectPr w:rsidR="0010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A8"/>
    <w:rsid w:val="00010AA8"/>
    <w:rsid w:val="00100CFB"/>
    <w:rsid w:val="0064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9C88"/>
  <w15:chartTrackingRefBased/>
  <w15:docId w15:val="{374E7C4A-2533-4D73-A772-6C3062AF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6B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Meiram</dc:creator>
  <cp:keywords/>
  <dc:description/>
  <cp:lastModifiedBy>Meiram</cp:lastModifiedBy>
  <cp:revision>2</cp:revision>
  <dcterms:created xsi:type="dcterms:W3CDTF">2020-10-07T09:53:00Z</dcterms:created>
  <dcterms:modified xsi:type="dcterms:W3CDTF">2020-10-07T09:53:00Z</dcterms:modified>
</cp:coreProperties>
</file>